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798" w:rsidRDefault="00D17C01" w:rsidP="00807798">
      <w:pPr>
        <w:pStyle w:val="Heading1"/>
      </w:pPr>
      <w:r>
        <w:t>Sparkline</w:t>
      </w:r>
      <w:r w:rsidR="00807798">
        <w:t xml:space="preserve"> Chart</w:t>
      </w:r>
      <w:r w:rsidR="00807798">
        <w:br/>
      </w:r>
    </w:p>
    <w:p w:rsidR="00807798" w:rsidRDefault="00807798" w:rsidP="0082770B">
      <w:pPr>
        <w:pStyle w:val="NoSpacing"/>
      </w:pPr>
      <w:r>
        <w:t xml:space="preserve">Sample </w:t>
      </w:r>
      <w:r w:rsidR="00D17C01">
        <w:t>Sparkline</w:t>
      </w:r>
      <w:r>
        <w:t xml:space="preserve"> Chart CSV:</w:t>
      </w:r>
      <w:r>
        <w:br/>
      </w:r>
    </w:p>
    <w:p w:rsidR="0082770B" w:rsidRPr="0082770B" w:rsidRDefault="0082770B" w:rsidP="0082770B">
      <w:pPr>
        <w:pStyle w:val="NoSpacing"/>
        <w:rPr>
          <w:b/>
          <w:caps/>
        </w:rPr>
      </w:pPr>
      <w:r w:rsidRPr="0082770B">
        <w:rPr>
          <w:b/>
        </w:rPr>
        <w:t>sparkline,,,,,,,,,,,,</w:t>
      </w:r>
    </w:p>
    <w:p w:rsidR="0082770B" w:rsidRPr="0082770B" w:rsidRDefault="0082770B" w:rsidP="0082770B">
      <w:pPr>
        <w:pStyle w:val="NoSpacing"/>
        <w:rPr>
          <w:b/>
        </w:rPr>
      </w:pPr>
      <w:r w:rsidRPr="0082770B">
        <w:rPr>
          <w:b/>
        </w:rPr>
        <w:t>Income,Income per half year,,,,,Outgoings,Outgoings per half year,,,,,Fullname</w:t>
      </w:r>
    </w:p>
    <w:p w:rsidR="0082770B" w:rsidRPr="0082770B" w:rsidRDefault="0082770B" w:rsidP="0082770B">
      <w:pPr>
        <w:pStyle w:val="NoSpacing"/>
      </w:pPr>
      <w:r w:rsidRPr="0082770B">
        <w:t>235,278,312,298,256,271,223,265,289,302,231,250, Belgium</w:t>
      </w:r>
    </w:p>
    <w:p w:rsidR="0082770B" w:rsidRPr="0082770B" w:rsidRDefault="0082770B" w:rsidP="0082770B">
      <w:pPr>
        <w:pStyle w:val="NoSpacing"/>
      </w:pPr>
      <w:r w:rsidRPr="0082770B">
        <w:t>800,866,834,955,980,1001,764,825,800,911,925,930, Germany</w:t>
      </w:r>
    </w:p>
    <w:p w:rsidR="0082770B" w:rsidRPr="0082770B" w:rsidRDefault="0082770B" w:rsidP="0082770B">
      <w:pPr>
        <w:pStyle w:val="NoSpacing"/>
      </w:pPr>
      <w:r w:rsidRPr="0082770B">
        <w:t>123,145,98,87,111,145,150,125,87,73,92,120, Finland</w:t>
      </w:r>
    </w:p>
    <w:p w:rsidR="0082770B" w:rsidRPr="0082770B" w:rsidRDefault="0082770B" w:rsidP="0082770B">
      <w:pPr>
        <w:pStyle w:val="NoSpacing"/>
      </w:pPr>
      <w:r w:rsidRPr="0082770B">
        <w:t>217,187,220,199,180,185,160,180,175,158,157,149, Netherlands</w:t>
      </w:r>
    </w:p>
    <w:p w:rsidR="0082770B" w:rsidRPr="0082770B" w:rsidRDefault="0082770B" w:rsidP="0082770B">
      <w:pPr>
        <w:pStyle w:val="NoSpacing"/>
      </w:pPr>
      <w:r w:rsidRPr="0082770B">
        <w:t>164,153,170,181,190,184,180,174,159,152,155,144, Sweden</w:t>
      </w:r>
    </w:p>
    <w:p w:rsidR="0082770B" w:rsidRPr="0082770B" w:rsidRDefault="0082770B" w:rsidP="0082770B">
      <w:pPr>
        <w:pStyle w:val="NoSpacing"/>
      </w:pPr>
      <w:r w:rsidRPr="0082770B">
        <w:t>255,278,233,288,300,345,250,204,245,233,266,285, Spain</w:t>
      </w:r>
    </w:p>
    <w:p w:rsidR="0082770B" w:rsidRPr="0082770B" w:rsidRDefault="0082770B" w:rsidP="0082770B">
      <w:pPr>
        <w:pStyle w:val="NoSpacing"/>
      </w:pPr>
      <w:r w:rsidRPr="0082770B">
        <w:t>419,386,401,423,444,437,354,368,363,380,375,362, France</w:t>
      </w:r>
    </w:p>
    <w:p w:rsidR="0082770B" w:rsidRPr="0082770B" w:rsidRDefault="0082770B" w:rsidP="0082770B">
      <w:pPr>
        <w:pStyle w:val="NoSpacing"/>
      </w:pPr>
      <w:r w:rsidRPr="0082770B">
        <w:t>147,159,168,177,162,181,138,152,155,164,149,167, Norway</w:t>
      </w:r>
    </w:p>
    <w:p w:rsidR="0082770B" w:rsidRPr="0082770B" w:rsidRDefault="0082770B" w:rsidP="0082770B">
      <w:pPr>
        <w:pStyle w:val="NoSpacing"/>
      </w:pPr>
      <w:r w:rsidRPr="0082770B">
        <w:t>387,355,374,382,361,369,300,286,320,312,295,287, United Kingdom</w:t>
      </w:r>
    </w:p>
    <w:p w:rsidR="0082770B" w:rsidRPr="0082770B" w:rsidRDefault="0082770B" w:rsidP="0082770B">
      <w:pPr>
        <w:pStyle w:val="NoSpacing"/>
      </w:pPr>
      <w:r w:rsidRPr="0082770B">
        <w:t>307,325,334,302,320,316,324,347,321,300,299,330, Italy</w:t>
      </w:r>
    </w:p>
    <w:p w:rsidR="0082770B" w:rsidRPr="0082770B" w:rsidRDefault="0082770B" w:rsidP="0082770B">
      <w:pPr>
        <w:pStyle w:val="NoSpacing"/>
      </w:pPr>
      <w:r w:rsidRPr="0082770B">
        <w:t>1274,1226,1301,1389,1304,1256,1150,1113,1186,1107,1214,1133, Russia</w:t>
      </w:r>
    </w:p>
    <w:p w:rsidR="0082770B" w:rsidRPr="0082770B" w:rsidRDefault="0082770B" w:rsidP="0082770B">
      <w:pPr>
        <w:pStyle w:val="NoSpacing"/>
      </w:pPr>
      <w:r w:rsidRPr="0082770B">
        <w:t>2147,2356,2587,2395,2216,2254,2001,2145,2084,1999,1856,1880, United States</w:t>
      </w:r>
    </w:p>
    <w:p w:rsidR="0082770B" w:rsidRPr="0082770B" w:rsidRDefault="0082770B" w:rsidP="0082770B">
      <w:pPr>
        <w:pStyle w:val="NoSpacing"/>
      </w:pPr>
      <w:r w:rsidRPr="0082770B">
        <w:t>98,112,105,114,110,104,90,117,108,103,92,98, Hungary</w:t>
      </w:r>
    </w:p>
    <w:p w:rsidR="0082770B" w:rsidRPr="0082770B" w:rsidRDefault="0082770B" w:rsidP="0082770B">
      <w:pPr>
        <w:pStyle w:val="NoSpacing"/>
      </w:pPr>
      <w:r w:rsidRPr="0082770B">
        <w:t>211,241,232,227,222,208,220,225,201,198,212,216, Portugal</w:t>
      </w:r>
    </w:p>
    <w:p w:rsidR="0082770B" w:rsidRPr="0082770B" w:rsidRDefault="0082770B" w:rsidP="0082770B">
      <w:pPr>
        <w:pStyle w:val="NoSpacing"/>
      </w:pPr>
      <w:r w:rsidRPr="0082770B">
        <w:t>164,172,183,179,171,183,155,158,161,165,154,149, New Zealand</w:t>
      </w:r>
    </w:p>
    <w:p w:rsidR="0082770B" w:rsidRPr="0082770B" w:rsidRDefault="0082770B" w:rsidP="0082770B">
      <w:pPr>
        <w:pStyle w:val="NoSpacing"/>
        <w:rPr>
          <w:b/>
          <w:color w:val="FF0000"/>
        </w:rPr>
      </w:pPr>
      <w:r w:rsidRPr="0082770B">
        <w:rPr>
          <w:b/>
          <w:color w:val="FF0000"/>
        </w:rPr>
        <w:t>__,,,,,,,,,,,,</w:t>
      </w:r>
    </w:p>
    <w:p w:rsidR="0082770B" w:rsidRPr="0082770B" w:rsidRDefault="0082770B" w:rsidP="0082770B">
      <w:pPr>
        <w:pStyle w:val="NoSpacing"/>
      </w:pPr>
      <w:r w:rsidRPr="0082770B">
        <w:t>6,,,,,,,,,,,,</w:t>
      </w:r>
    </w:p>
    <w:p w:rsidR="0082770B" w:rsidRPr="0082770B" w:rsidRDefault="0082770B" w:rsidP="0082770B">
      <w:pPr>
        <w:pStyle w:val="NoSpacing"/>
      </w:pPr>
      <w:r w:rsidRPr="0082770B">
        <w:t>Country,,,,,,,,,,,,</w:t>
      </w:r>
    </w:p>
    <w:p w:rsidR="0082770B" w:rsidRPr="0082770B" w:rsidRDefault="0082770B" w:rsidP="0082770B">
      <w:pPr>
        <w:pStyle w:val="NoSpacing"/>
      </w:pPr>
      <w:r w:rsidRPr="0082770B">
        <w:t>Month {x},,,,,,,,,,,,</w:t>
      </w:r>
    </w:p>
    <w:p w:rsidR="00F11B79" w:rsidRDefault="0082770B" w:rsidP="0082770B">
      <w:pPr>
        <w:pStyle w:val="NoSpacing"/>
      </w:pPr>
      <w:r w:rsidRPr="0082770B">
        <w:t>"£{y},000",,,,,,,,,,,,</w:t>
      </w:r>
      <w:r w:rsidR="00807798" w:rsidRPr="003875A0">
        <w:rPr>
          <w:color w:val="7030A0"/>
        </w:rPr>
        <w:br/>
      </w:r>
    </w:p>
    <w:p w:rsidR="00807798" w:rsidRDefault="00807798" w:rsidP="00807798">
      <w:r w:rsidRPr="005A2AD4">
        <w:t>The image below shows how the CSV should look like in Excel. You need to make sure that all the extra data after the “__” are add in their own cell, as these values are expected to be comma separated too.</w:t>
      </w:r>
      <w:r>
        <w:t xml:space="preserve"> </w:t>
      </w:r>
    </w:p>
    <w:p w:rsidR="00807798" w:rsidRDefault="0082770B" w:rsidP="00807798">
      <w:pPr>
        <w:rPr>
          <w:color w:val="107E42"/>
        </w:rPr>
      </w:pPr>
      <w:r w:rsidRPr="0082770B">
        <w:rPr>
          <w:noProof/>
          <w:color w:val="107E42"/>
          <w:lang w:eastAsia="en-GB"/>
        </w:rPr>
        <w:drawing>
          <wp:inline distT="0" distB="0" distL="0" distR="0" wp14:anchorId="4790AE3B" wp14:editId="00247963">
            <wp:extent cx="5943600" cy="2994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2994025"/>
                    </a:xfrm>
                    <a:prstGeom prst="rect">
                      <a:avLst/>
                    </a:prstGeom>
                  </pic:spPr>
                </pic:pic>
              </a:graphicData>
            </a:graphic>
          </wp:inline>
        </w:drawing>
      </w:r>
    </w:p>
    <w:p w:rsidR="0083712C" w:rsidRDefault="005012DF" w:rsidP="00807798">
      <w:pPr>
        <w:rPr>
          <w:rStyle w:val="Heading3Char"/>
        </w:rPr>
      </w:pPr>
      <w:r w:rsidRPr="005012DF">
        <w:rPr>
          <w:rFonts w:asciiTheme="majorHAnsi" w:eastAsiaTheme="majorEastAsia" w:hAnsiTheme="majorHAnsi" w:cstheme="majorBidi"/>
          <w:b/>
          <w:bCs/>
          <w:noProof/>
          <w:color w:val="4F81BD" w:themeColor="accent1"/>
          <w:lang w:eastAsia="en-GB"/>
        </w:rPr>
        <w:lastRenderedPageBreak/>
        <w:drawing>
          <wp:inline distT="0" distB="0" distL="0" distR="0" wp14:anchorId="0EBE5186" wp14:editId="576A76C3">
            <wp:extent cx="4706007" cy="380100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706007" cy="3801006"/>
                    </a:xfrm>
                    <a:prstGeom prst="rect">
                      <a:avLst/>
                    </a:prstGeom>
                  </pic:spPr>
                </pic:pic>
              </a:graphicData>
            </a:graphic>
          </wp:inline>
        </w:drawing>
      </w:r>
      <w:r w:rsidR="00807798">
        <w:rPr>
          <w:rStyle w:val="Heading3Char"/>
        </w:rPr>
        <w:br/>
      </w:r>
    </w:p>
    <w:p w:rsidR="00807798" w:rsidRPr="007B5F7C" w:rsidRDefault="00807798" w:rsidP="00807798">
      <w:pPr>
        <w:rPr>
          <w:rStyle w:val="Heading3Char"/>
        </w:rPr>
      </w:pPr>
      <w:r w:rsidRPr="007B5F7C">
        <w:rPr>
          <w:rStyle w:val="Heading3Char"/>
        </w:rPr>
        <w:t xml:space="preserve">Description of </w:t>
      </w:r>
      <w:r w:rsidR="00D431F4">
        <w:rPr>
          <w:rStyle w:val="Heading3Char"/>
        </w:rPr>
        <w:t>Sparkline chart</w:t>
      </w:r>
      <w:r w:rsidRPr="007B5F7C">
        <w:rPr>
          <w:rStyle w:val="Heading3Char"/>
        </w:rPr>
        <w:t xml:space="preserve"> CSV format:</w:t>
      </w:r>
    </w:p>
    <w:p w:rsidR="004A4FE5" w:rsidRDefault="004A4FE5" w:rsidP="00807798">
      <w:r>
        <w:t xml:space="preserve">The first line of the file must be “sparkline” (as shown in </w:t>
      </w:r>
      <w:r w:rsidRPr="004A4FE5">
        <w:rPr>
          <w:b/>
          <w:color w:val="9BBB59" w:themeColor="accent3"/>
        </w:rPr>
        <w:t>green</w:t>
      </w:r>
      <w:r>
        <w:t xml:space="preserve">). This is so that the </w:t>
      </w:r>
      <w:r w:rsidR="005F7CCE">
        <w:t>data loader</w:t>
      </w:r>
      <w:r>
        <w:t xml:space="preserve"> knows that the data is destined for a sparkline chart.</w:t>
      </w:r>
    </w:p>
    <w:p w:rsidR="004A4FE5" w:rsidRDefault="004A4FE5" w:rsidP="00807798">
      <w:r>
        <w:t>The second line contains the labels for the “groups” of data that make up the little sparkline charts. Each “group” must contain the same number of columns. You can see how the labels match up and are used in the chart figure below the CSV layout. In the example, each “group” has 6 (six) data points – these are plotted in the sparkline chart. The figure in front of the chart is the total of the 6 data points. You can see how the labels from row 2 are used. The very final column always contains the main key for each “group” and the header for that column is used for header in the row in the actual chart.</w:t>
      </w:r>
    </w:p>
    <w:p w:rsidR="004A4FE5" w:rsidRDefault="004A4FE5" w:rsidP="00807798">
      <w:r>
        <w:t xml:space="preserve">The following rows contain the actual data points for each “group” – so the elements in </w:t>
      </w:r>
      <w:r w:rsidRPr="00C4656B">
        <w:rPr>
          <w:b/>
          <w:color w:val="4BACC6" w:themeColor="accent5"/>
        </w:rPr>
        <w:t>blue</w:t>
      </w:r>
      <w:r w:rsidRPr="00C4656B">
        <w:rPr>
          <w:color w:val="4BACC6" w:themeColor="accent5"/>
        </w:rPr>
        <w:t xml:space="preserve"> </w:t>
      </w:r>
      <w:r>
        <w:t xml:space="preserve">contain all the data points for Incoming, the elements in </w:t>
      </w:r>
      <w:r w:rsidRPr="00C4656B">
        <w:rPr>
          <w:b/>
          <w:color w:val="C0504D" w:themeColor="accent2"/>
        </w:rPr>
        <w:t>crimson</w:t>
      </w:r>
      <w:r w:rsidRPr="00C4656B">
        <w:rPr>
          <w:color w:val="C0504D" w:themeColor="accent2"/>
        </w:rPr>
        <w:t xml:space="preserve"> </w:t>
      </w:r>
      <w:r>
        <w:t>contain all the data points for Outgoing</w:t>
      </w:r>
      <w:r w:rsidR="00C4656B">
        <w:t xml:space="preserve">, and the final column in </w:t>
      </w:r>
      <w:r w:rsidR="00C4656B" w:rsidRPr="00C4656B">
        <w:rPr>
          <w:b/>
        </w:rPr>
        <w:t>black</w:t>
      </w:r>
      <w:r w:rsidR="00C4656B">
        <w:t xml:space="preserve"> is the main key. You can as many groups as you like as long as each “group”  contains the same number of the data points.</w:t>
      </w:r>
    </w:p>
    <w:p w:rsidR="00205540" w:rsidRDefault="00C4656B" w:rsidP="00807798">
      <w:r>
        <w:t>After the data rows, t</w:t>
      </w:r>
      <w:r w:rsidR="00807798">
        <w:t>here is a separation indicated by the double underscore (“</w:t>
      </w:r>
      <w:r w:rsidR="00807798" w:rsidRPr="00C4656B">
        <w:rPr>
          <w:b/>
          <w:color w:val="E36C0A" w:themeColor="accent6" w:themeShade="BF"/>
        </w:rPr>
        <w:t>__</w:t>
      </w:r>
      <w:r w:rsidR="00807798">
        <w:t>"</w:t>
      </w:r>
      <w:r>
        <w:t xml:space="preserve"> in </w:t>
      </w:r>
      <w:r w:rsidRPr="00C4656B">
        <w:rPr>
          <w:b/>
          <w:color w:val="E36C0A" w:themeColor="accent6" w:themeShade="BF"/>
        </w:rPr>
        <w:t>orange</w:t>
      </w:r>
      <w:r w:rsidR="00807798">
        <w:t xml:space="preserve">) which is used to let the application know that the following lines </w:t>
      </w:r>
      <w:r w:rsidR="00CD0B35">
        <w:t xml:space="preserve">(in </w:t>
      </w:r>
      <w:r w:rsidR="00CD0B35" w:rsidRPr="00C4656B">
        <w:rPr>
          <w:b/>
          <w:color w:val="E36C0A" w:themeColor="accent6" w:themeShade="BF"/>
        </w:rPr>
        <w:t>orange</w:t>
      </w:r>
      <w:r w:rsidR="00CD0B35">
        <w:t xml:space="preserve">) </w:t>
      </w:r>
      <w:r w:rsidR="00807798">
        <w:t>contain other information specific to the chart.</w:t>
      </w:r>
      <w:r w:rsidR="005F7CCE">
        <w:t xml:space="preserve"> These are single-row, single-column entries that need to be listed in the following order:</w:t>
      </w:r>
    </w:p>
    <w:p w:rsidR="005F7CCE" w:rsidRDefault="008A09E9" w:rsidP="00807798">
      <w:r w:rsidRPr="008A09E9">
        <w:rPr>
          <w:b/>
        </w:rPr>
        <w:t xml:space="preserve">ROW 1: </w:t>
      </w:r>
      <w:r w:rsidR="005F7CCE" w:rsidRPr="005F7CCE">
        <w:rPr>
          <w:b/>
        </w:rPr>
        <w:t>The number of data points in each “group”</w:t>
      </w:r>
      <w:r w:rsidR="005F7CCE">
        <w:t xml:space="preserve"> – in the example this is 6 (six) – this is so the data loader knows how to read the data rows.</w:t>
      </w:r>
    </w:p>
    <w:p w:rsidR="008A09E9" w:rsidRDefault="008A09E9" w:rsidP="00807798">
      <w:pPr>
        <w:rPr>
          <w:b/>
        </w:rPr>
      </w:pPr>
      <w:r>
        <w:rPr>
          <w:b/>
        </w:rPr>
        <w:t xml:space="preserve">ROW 2: </w:t>
      </w:r>
      <w:r w:rsidR="005F7CCE" w:rsidRPr="005F7CCE">
        <w:rPr>
          <w:b/>
        </w:rPr>
        <w:t>The legend for the main key</w:t>
      </w:r>
      <w:r w:rsidR="005F7CCE">
        <w:rPr>
          <w:b/>
        </w:rPr>
        <w:t xml:space="preserve"> – </w:t>
      </w:r>
      <w:r w:rsidR="005F7CCE" w:rsidRPr="005F7CCE">
        <w:t xml:space="preserve">in the example, </w:t>
      </w:r>
      <w:r w:rsidR="005F7CCE">
        <w:rPr>
          <w:b/>
        </w:rPr>
        <w:t>Country</w:t>
      </w:r>
      <w:r w:rsidR="001C58D7">
        <w:rPr>
          <w:b/>
        </w:rPr>
        <w:br/>
      </w:r>
      <w:r>
        <w:rPr>
          <w:b/>
        </w:rPr>
        <w:br/>
      </w:r>
    </w:p>
    <w:p w:rsidR="008A09E9" w:rsidRDefault="008A09E9" w:rsidP="008A09E9">
      <w:r>
        <w:br w:type="page"/>
      </w:r>
    </w:p>
    <w:p w:rsidR="008A09E9" w:rsidRDefault="008A09E9" w:rsidP="00807798">
      <w:pPr>
        <w:rPr>
          <w:b/>
        </w:rPr>
      </w:pPr>
      <w:r>
        <w:rPr>
          <w:b/>
        </w:rPr>
        <w:lastRenderedPageBreak/>
        <w:t xml:space="preserve">ROW 3: </w:t>
      </w:r>
      <w:r w:rsidR="00146310">
        <w:t xml:space="preserve">On the chart, hovering over a data point produces a toolip. This value defines the header for this tooltip: the tooltip automatically formats the header starting with the label for the group as a whole, e.g. Outgoings per half year; it then follows this with the label defined in this row, replacing the </w:t>
      </w:r>
      <w:r w:rsidR="00146310" w:rsidRPr="00146310">
        <w:rPr>
          <w:b/>
        </w:rPr>
        <w:t>{x}</w:t>
      </w:r>
      <w:r w:rsidR="00146310">
        <w:rPr>
          <w:b/>
        </w:rPr>
        <w:t xml:space="preserve"> </w:t>
      </w:r>
      <w:r w:rsidR="00146310">
        <w:t>with the position</w:t>
      </w:r>
      <w:r>
        <w:t xml:space="preserve"> of the data point within its group. So, if we select the third point for Finland, Outgoings per half year, the tooltip will pop up with a heading of:  </w:t>
      </w:r>
      <w:r w:rsidRPr="008A09E9">
        <w:rPr>
          <w:b/>
        </w:rPr>
        <w:t>“Outgoings per half year: Month 3”</w:t>
      </w:r>
    </w:p>
    <w:p w:rsidR="008A09E9" w:rsidRPr="008A09E9" w:rsidRDefault="008A09E9" w:rsidP="00807798">
      <w:r w:rsidRPr="008A09E9">
        <w:rPr>
          <w:b/>
        </w:rPr>
        <w:t>ROW 4</w:t>
      </w:r>
      <w:r>
        <w:t xml:space="preserve">: This determines how the actual value of the data point is formatted for display – both in the Totals column and in the tooltip. As with ROW 3, the </w:t>
      </w:r>
      <w:r w:rsidRPr="008A09E9">
        <w:rPr>
          <w:b/>
        </w:rPr>
        <w:t xml:space="preserve">{y} </w:t>
      </w:r>
      <w:r>
        <w:t xml:space="preserve">is replaced by the actual value. So, for our Finnish example above, the data point tooltip will show the value as: </w:t>
      </w:r>
      <w:r w:rsidRPr="008A09E9">
        <w:rPr>
          <w:b/>
        </w:rPr>
        <w:t>£87,000</w:t>
      </w:r>
      <w:r>
        <w:rPr>
          <w:b/>
        </w:rPr>
        <w:t xml:space="preserve"> </w:t>
      </w:r>
      <w:r>
        <w:t xml:space="preserve">– note how the {y} in the format has been replaced by the </w:t>
      </w:r>
      <w:r>
        <w:rPr>
          <w:b/>
        </w:rPr>
        <w:t xml:space="preserve">87 </w:t>
      </w:r>
      <w:r>
        <w:t xml:space="preserve">which is </w:t>
      </w:r>
      <w:bookmarkStart w:id="0" w:name="_GoBack"/>
      <w:bookmarkEnd w:id="0"/>
      <w:r>
        <w:t>the actual data value.</w:t>
      </w:r>
    </w:p>
    <w:sectPr w:rsidR="008A09E9" w:rsidRPr="008A09E9" w:rsidSect="001C43B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D97"/>
    <w:rsid w:val="00000D97"/>
    <w:rsid w:val="00146310"/>
    <w:rsid w:val="001C4329"/>
    <w:rsid w:val="001C43BF"/>
    <w:rsid w:val="001C58D7"/>
    <w:rsid w:val="00201795"/>
    <w:rsid w:val="00205540"/>
    <w:rsid w:val="00226F1E"/>
    <w:rsid w:val="002E2381"/>
    <w:rsid w:val="002E52E0"/>
    <w:rsid w:val="003875A0"/>
    <w:rsid w:val="004A4FE5"/>
    <w:rsid w:val="005012DF"/>
    <w:rsid w:val="005510B6"/>
    <w:rsid w:val="005F7CCE"/>
    <w:rsid w:val="006861DA"/>
    <w:rsid w:val="006F3BC6"/>
    <w:rsid w:val="007247C6"/>
    <w:rsid w:val="007279D3"/>
    <w:rsid w:val="007870AB"/>
    <w:rsid w:val="007B1D78"/>
    <w:rsid w:val="007C1160"/>
    <w:rsid w:val="007C465A"/>
    <w:rsid w:val="00806366"/>
    <w:rsid w:val="00807798"/>
    <w:rsid w:val="0082770B"/>
    <w:rsid w:val="0083712C"/>
    <w:rsid w:val="008A09E9"/>
    <w:rsid w:val="009F7CCC"/>
    <w:rsid w:val="00B0329D"/>
    <w:rsid w:val="00B140DA"/>
    <w:rsid w:val="00B4679C"/>
    <w:rsid w:val="00B75C59"/>
    <w:rsid w:val="00C1037D"/>
    <w:rsid w:val="00C25EFA"/>
    <w:rsid w:val="00C4656B"/>
    <w:rsid w:val="00C63320"/>
    <w:rsid w:val="00C6616B"/>
    <w:rsid w:val="00CD0B35"/>
    <w:rsid w:val="00CE1D37"/>
    <w:rsid w:val="00CF4D63"/>
    <w:rsid w:val="00D17C01"/>
    <w:rsid w:val="00D24D8F"/>
    <w:rsid w:val="00D431F4"/>
    <w:rsid w:val="00D4611F"/>
    <w:rsid w:val="00D72E97"/>
    <w:rsid w:val="00E6233A"/>
    <w:rsid w:val="00E70384"/>
    <w:rsid w:val="00EA66A0"/>
    <w:rsid w:val="00F11B79"/>
    <w:rsid w:val="00F136DD"/>
    <w:rsid w:val="00F4003E"/>
    <w:rsid w:val="00FA62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798"/>
  </w:style>
  <w:style w:type="paragraph" w:styleId="Heading1">
    <w:name w:val="heading 1"/>
    <w:basedOn w:val="Normal"/>
    <w:next w:val="Normal"/>
    <w:link w:val="Heading1Char"/>
    <w:uiPriority w:val="9"/>
    <w:qFormat/>
    <w:rsid w:val="00000D9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00D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32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D9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00D9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329D"/>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1C43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329"/>
    <w:rPr>
      <w:rFonts w:ascii="Tahoma" w:hAnsi="Tahoma" w:cs="Tahoma"/>
      <w:sz w:val="16"/>
      <w:szCs w:val="16"/>
    </w:rPr>
  </w:style>
  <w:style w:type="paragraph" w:styleId="NoSpacing">
    <w:name w:val="No Spacing"/>
    <w:uiPriority w:val="1"/>
    <w:qFormat/>
    <w:rsid w:val="0082770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798"/>
  </w:style>
  <w:style w:type="paragraph" w:styleId="Heading1">
    <w:name w:val="heading 1"/>
    <w:basedOn w:val="Normal"/>
    <w:next w:val="Normal"/>
    <w:link w:val="Heading1Char"/>
    <w:uiPriority w:val="9"/>
    <w:qFormat/>
    <w:rsid w:val="00000D9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00D9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32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0D9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00D9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329D"/>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1C43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329"/>
    <w:rPr>
      <w:rFonts w:ascii="Tahoma" w:hAnsi="Tahoma" w:cs="Tahoma"/>
      <w:sz w:val="16"/>
      <w:szCs w:val="16"/>
    </w:rPr>
  </w:style>
  <w:style w:type="paragraph" w:styleId="NoSpacing">
    <w:name w:val="No Spacing"/>
    <w:uiPriority w:val="1"/>
    <w:qFormat/>
    <w:rsid w:val="008277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0A592-CE42-41E7-A114-A4A0E8031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The Futures Company</Company>
  <LinksUpToDate>false</LinksUpToDate>
  <CharactersWithSpaces>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Mathurin, Chris (GDMBK)</dc:creator>
  <cp:lastModifiedBy>Lea, Phil (GDMBK)</cp:lastModifiedBy>
  <cp:revision>3</cp:revision>
  <dcterms:created xsi:type="dcterms:W3CDTF">2015-12-09T15:40:00Z</dcterms:created>
  <dcterms:modified xsi:type="dcterms:W3CDTF">2015-12-09T15:50:00Z</dcterms:modified>
</cp:coreProperties>
</file>